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9916" w14:textId="6D22F368" w:rsidR="00CC16BF" w:rsidRPr="00E3543C" w:rsidRDefault="00DB41D5">
      <w:pPr>
        <w:pStyle w:val="BodyText"/>
        <w:spacing w:before="181"/>
        <w:rPr>
          <w:sz w:val="22"/>
          <w:szCs w:val="22"/>
        </w:rPr>
      </w:pPr>
      <w:r w:rsidRPr="009E4777">
        <w:rPr>
          <w:sz w:val="27"/>
        </w:rPr>
        <w:tab/>
      </w:r>
      <w:r w:rsidR="00E3543C" w:rsidRPr="00E3543C">
        <w:rPr>
          <w:sz w:val="22"/>
          <w:szCs w:val="22"/>
        </w:rPr>
        <w:t xml:space="preserve">  Date Issued: </w:t>
      </w:r>
      <w:r w:rsidRPr="00E3543C">
        <w:rPr>
          <w:sz w:val="22"/>
          <w:szCs w:val="22"/>
        </w:rPr>
        <w:t>_____________</w:t>
      </w:r>
    </w:p>
    <w:p w14:paraId="38B6BFF9" w14:textId="77777777" w:rsidR="00DB41D5" w:rsidRPr="00E3543C" w:rsidRDefault="00DB41D5">
      <w:pPr>
        <w:pStyle w:val="BodyText"/>
        <w:spacing w:before="181"/>
        <w:rPr>
          <w:sz w:val="22"/>
          <w:szCs w:val="22"/>
        </w:rPr>
      </w:pPr>
    </w:p>
    <w:p w14:paraId="197C9917" w14:textId="654A2F00" w:rsidR="00CC16BF" w:rsidRPr="00424295" w:rsidRDefault="00C827C0" w:rsidP="00AA4203">
      <w:pPr>
        <w:pStyle w:val="Heading1"/>
        <w:jc w:val="center"/>
        <w:rPr>
          <w:sz w:val="24"/>
          <w:szCs w:val="24"/>
        </w:rPr>
      </w:pPr>
      <w:r w:rsidRPr="00424295">
        <w:rPr>
          <w:color w:val="010101"/>
          <w:sz w:val="24"/>
          <w:szCs w:val="24"/>
        </w:rPr>
        <w:t>EXPOSURE</w:t>
      </w:r>
      <w:r w:rsidRPr="00424295">
        <w:rPr>
          <w:color w:val="010101"/>
          <w:spacing w:val="61"/>
          <w:sz w:val="24"/>
          <w:szCs w:val="24"/>
        </w:rPr>
        <w:t xml:space="preserve"> </w:t>
      </w:r>
      <w:r w:rsidRPr="00424295">
        <w:rPr>
          <w:color w:val="010101"/>
          <w:spacing w:val="-2"/>
          <w:sz w:val="24"/>
          <w:szCs w:val="24"/>
        </w:rPr>
        <w:t>NOTICE</w:t>
      </w:r>
      <w:r w:rsidR="00F14B2B" w:rsidRPr="00424295">
        <w:rPr>
          <w:color w:val="010101"/>
          <w:spacing w:val="-2"/>
          <w:sz w:val="24"/>
          <w:szCs w:val="24"/>
        </w:rPr>
        <w:t>: HEAD LICE</w:t>
      </w:r>
    </w:p>
    <w:p w14:paraId="79B73D9B" w14:textId="77777777" w:rsidR="00C36727" w:rsidRDefault="00C36727" w:rsidP="00C36727">
      <w:pPr>
        <w:rPr>
          <w:sz w:val="20"/>
          <w:szCs w:val="20"/>
        </w:rPr>
      </w:pPr>
      <w:r>
        <w:rPr>
          <w:sz w:val="20"/>
          <w:szCs w:val="20"/>
        </w:rPr>
        <w:t xml:space="preserve">  </w:t>
      </w:r>
      <w:r>
        <w:rPr>
          <w:sz w:val="20"/>
          <w:szCs w:val="20"/>
        </w:rPr>
        <w:tab/>
        <w:t xml:space="preserve">   </w:t>
      </w:r>
    </w:p>
    <w:p w14:paraId="711FC361" w14:textId="5423BA84" w:rsidR="00C36727" w:rsidRPr="00C36727" w:rsidRDefault="00C36727" w:rsidP="00C36727">
      <w:pPr>
        <w:ind w:left="121" w:firstLine="720"/>
      </w:pPr>
      <w:r w:rsidRPr="00C36727">
        <w:t xml:space="preserve">Dear Parent, Legal Guardian, or Staff, </w:t>
      </w:r>
    </w:p>
    <w:p w14:paraId="197C991A" w14:textId="77777777" w:rsidR="00CC16BF" w:rsidRPr="00E3543C" w:rsidRDefault="00CC16BF">
      <w:pPr>
        <w:pStyle w:val="BodyText"/>
        <w:spacing w:before="21"/>
        <w:rPr>
          <w:sz w:val="22"/>
          <w:szCs w:val="22"/>
        </w:rPr>
      </w:pPr>
    </w:p>
    <w:p w14:paraId="197C991B" w14:textId="3EFC0D19" w:rsidR="00CC16BF" w:rsidRPr="00E3543C" w:rsidRDefault="00C827C0">
      <w:pPr>
        <w:tabs>
          <w:tab w:val="left" w:pos="4435"/>
        </w:tabs>
        <w:spacing w:before="1" w:line="249" w:lineRule="auto"/>
        <w:ind w:left="843" w:right="139" w:hanging="2"/>
        <w:rPr>
          <w:b/>
          <w:i/>
        </w:rPr>
      </w:pPr>
      <w:r w:rsidRPr="00E3543C">
        <w:rPr>
          <w:color w:val="010101"/>
          <w:w w:val="105"/>
        </w:rPr>
        <w:t xml:space="preserve">On </w:t>
      </w:r>
      <w:r w:rsidRPr="00E3543C">
        <w:rPr>
          <w:color w:val="010101"/>
          <w:u w:val="single" w:color="000000"/>
        </w:rPr>
        <w:tab/>
      </w:r>
      <w:r w:rsidRPr="00E3543C">
        <w:rPr>
          <w:color w:val="010101"/>
          <w:spacing w:val="-38"/>
        </w:rPr>
        <w:t xml:space="preserve"> </w:t>
      </w:r>
      <w:r w:rsidRPr="00E3543C">
        <w:rPr>
          <w:color w:val="010101"/>
          <w:w w:val="105"/>
        </w:rPr>
        <w:t xml:space="preserve">your </w:t>
      </w:r>
      <w:r w:rsidR="00F14B2B" w:rsidRPr="00E3543C">
        <w:t xml:space="preserve">child may have been exposed to the communicable disease or condition listed below. This notice does not replace medical advice. </w:t>
      </w:r>
      <w:r w:rsidR="00F14B2B" w:rsidRPr="00E3543C">
        <w:rPr>
          <w:b/>
          <w:bCs/>
        </w:rPr>
        <w:t>If your child develops symptoms, contact your healthcare provider for diagnosis and treatment to help prevent further spread</w:t>
      </w:r>
      <w:r w:rsidR="00F14B2B" w:rsidRPr="00E3543C">
        <w:t xml:space="preserve">. If you have questions, please call your school. If you do not have a healthcare provider or health insurance, call </w:t>
      </w:r>
      <w:r w:rsidR="007A26F6" w:rsidRPr="00E3543C">
        <w:rPr>
          <w:bCs/>
        </w:rPr>
        <w:t xml:space="preserve">_______________. </w:t>
      </w:r>
    </w:p>
    <w:p w14:paraId="197C991C" w14:textId="77777777" w:rsidR="00CC16BF" w:rsidRPr="00E3543C" w:rsidRDefault="00CC16BF">
      <w:pPr>
        <w:pStyle w:val="BodyText"/>
        <w:rPr>
          <w:b/>
          <w:i/>
          <w:sz w:val="22"/>
          <w:szCs w:val="22"/>
        </w:rPr>
      </w:pPr>
    </w:p>
    <w:p w14:paraId="197C9921" w14:textId="6A23705B" w:rsidR="00CC16BF" w:rsidRPr="00E3543C" w:rsidRDefault="00C827C0">
      <w:pPr>
        <w:pStyle w:val="Heading2"/>
        <w:spacing w:before="264"/>
        <w:rPr>
          <w:sz w:val="22"/>
          <w:szCs w:val="22"/>
        </w:rPr>
      </w:pPr>
      <w:r w:rsidRPr="00E3543C">
        <w:rPr>
          <w:b/>
          <w:color w:val="010101"/>
          <w:w w:val="105"/>
          <w:sz w:val="22"/>
          <w:szCs w:val="22"/>
        </w:rPr>
        <w:t>HEAD</w:t>
      </w:r>
      <w:r w:rsidRPr="00E3543C">
        <w:rPr>
          <w:b/>
          <w:color w:val="010101"/>
          <w:spacing w:val="-1"/>
          <w:w w:val="105"/>
          <w:sz w:val="22"/>
          <w:szCs w:val="22"/>
        </w:rPr>
        <w:t xml:space="preserve"> </w:t>
      </w:r>
      <w:r w:rsidRPr="00E3543C">
        <w:rPr>
          <w:b/>
          <w:color w:val="010101"/>
          <w:w w:val="105"/>
          <w:sz w:val="22"/>
          <w:szCs w:val="22"/>
        </w:rPr>
        <w:t>LICE</w:t>
      </w:r>
      <w:r w:rsidR="00F14B2B" w:rsidRPr="00E3543C">
        <w:rPr>
          <w:b/>
          <w:sz w:val="22"/>
          <w:szCs w:val="22"/>
        </w:rPr>
        <w:t xml:space="preserve"> </w:t>
      </w:r>
      <w:r w:rsidR="00F14B2B" w:rsidRPr="00E3543C">
        <w:rPr>
          <w:b/>
          <w:color w:val="010101"/>
          <w:w w:val="105"/>
          <w:sz w:val="22"/>
          <w:szCs w:val="22"/>
        </w:rPr>
        <w:t>(</w:t>
      </w:r>
      <w:r w:rsidR="00F14B2B" w:rsidRPr="00E3543C">
        <w:rPr>
          <w:b/>
          <w:i/>
          <w:iCs/>
          <w:color w:val="010101"/>
          <w:w w:val="105"/>
          <w:sz w:val="22"/>
          <w:szCs w:val="22"/>
        </w:rPr>
        <w:t xml:space="preserve">Pediculus </w:t>
      </w:r>
      <w:proofErr w:type="spellStart"/>
      <w:r w:rsidR="00F14B2B" w:rsidRPr="00E3543C">
        <w:rPr>
          <w:b/>
          <w:i/>
          <w:iCs/>
          <w:color w:val="010101"/>
          <w:w w:val="105"/>
          <w:sz w:val="22"/>
          <w:szCs w:val="22"/>
        </w:rPr>
        <w:t>humanus</w:t>
      </w:r>
      <w:proofErr w:type="spellEnd"/>
      <w:r w:rsidR="00F14B2B" w:rsidRPr="00E3543C">
        <w:rPr>
          <w:b/>
          <w:i/>
          <w:iCs/>
          <w:color w:val="010101"/>
          <w:w w:val="105"/>
          <w:sz w:val="22"/>
          <w:szCs w:val="22"/>
        </w:rPr>
        <w:t xml:space="preserve"> capitis</w:t>
      </w:r>
      <w:r w:rsidR="00F14B2B" w:rsidRPr="00E3543C">
        <w:rPr>
          <w:b/>
          <w:color w:val="010101"/>
          <w:w w:val="105"/>
          <w:sz w:val="22"/>
          <w:szCs w:val="22"/>
        </w:rPr>
        <w:t>)</w:t>
      </w:r>
      <w:r w:rsidRPr="00E3543C">
        <w:rPr>
          <w:b/>
          <w:color w:val="010101"/>
          <w:w w:val="105"/>
          <w:sz w:val="22"/>
          <w:szCs w:val="22"/>
        </w:rPr>
        <w:t>:</w:t>
      </w:r>
      <w:r w:rsidRPr="00E3543C">
        <w:rPr>
          <w:b/>
          <w:color w:val="010101"/>
          <w:spacing w:val="52"/>
          <w:w w:val="105"/>
          <w:sz w:val="22"/>
          <w:szCs w:val="22"/>
        </w:rPr>
        <w:t xml:space="preserve"> </w:t>
      </w:r>
      <w:r w:rsidR="00F14B2B" w:rsidRPr="00E3543C">
        <w:rPr>
          <w:sz w:val="22"/>
          <w:szCs w:val="22"/>
        </w:rPr>
        <w:t>Tan-colored insects that feed on blood from the scalp and only affect humans. They do not jump or fly but spread mainly through head-to-head contact. While they do not transmit disease, they can be a significant nuisance.</w:t>
      </w:r>
    </w:p>
    <w:p w14:paraId="197C9922" w14:textId="77777777" w:rsidR="00CC16BF" w:rsidRPr="00E3543C" w:rsidRDefault="00CC16BF">
      <w:pPr>
        <w:pStyle w:val="BodyText"/>
        <w:spacing w:before="22"/>
        <w:rPr>
          <w:sz w:val="22"/>
          <w:szCs w:val="22"/>
        </w:rPr>
      </w:pPr>
    </w:p>
    <w:p w14:paraId="197C9923" w14:textId="77777777" w:rsidR="00CC16BF" w:rsidRPr="00E3543C" w:rsidRDefault="00C827C0">
      <w:pPr>
        <w:ind w:left="846"/>
        <w:jc w:val="both"/>
      </w:pPr>
      <w:r w:rsidRPr="00E3543C">
        <w:rPr>
          <w:b/>
          <w:color w:val="010101"/>
          <w:w w:val="105"/>
          <w:u w:val="thick" w:color="010101"/>
        </w:rPr>
        <w:t>What</w:t>
      </w:r>
      <w:r w:rsidRPr="00E3543C">
        <w:rPr>
          <w:b/>
          <w:color w:val="010101"/>
          <w:spacing w:val="-8"/>
          <w:w w:val="105"/>
          <w:u w:val="thick" w:color="010101"/>
        </w:rPr>
        <w:t xml:space="preserve"> </w:t>
      </w:r>
      <w:r w:rsidRPr="00E3543C">
        <w:rPr>
          <w:b/>
          <w:color w:val="010101"/>
          <w:w w:val="105"/>
          <w:u w:val="thick" w:color="010101"/>
        </w:rPr>
        <w:t>are</w:t>
      </w:r>
      <w:r w:rsidRPr="00E3543C">
        <w:rPr>
          <w:b/>
          <w:color w:val="010101"/>
          <w:spacing w:val="-8"/>
          <w:w w:val="105"/>
          <w:u w:val="thick" w:color="010101"/>
        </w:rPr>
        <w:t xml:space="preserve"> </w:t>
      </w:r>
      <w:r w:rsidRPr="00E3543C">
        <w:rPr>
          <w:b/>
          <w:color w:val="010101"/>
          <w:w w:val="105"/>
          <w:u w:val="thick" w:color="010101"/>
        </w:rPr>
        <w:t>the</w:t>
      </w:r>
      <w:r w:rsidRPr="00E3543C">
        <w:rPr>
          <w:b/>
          <w:color w:val="010101"/>
          <w:spacing w:val="-6"/>
          <w:w w:val="105"/>
          <w:u w:val="thick" w:color="010101"/>
        </w:rPr>
        <w:t xml:space="preserve"> </w:t>
      </w:r>
      <w:r w:rsidRPr="00E3543C">
        <w:rPr>
          <w:b/>
          <w:color w:val="010101"/>
          <w:w w:val="105"/>
          <w:u w:val="thick" w:color="010101"/>
        </w:rPr>
        <w:t>symptoms?</w:t>
      </w:r>
      <w:r w:rsidRPr="00E3543C">
        <w:rPr>
          <w:b/>
          <w:color w:val="010101"/>
          <w:spacing w:val="10"/>
          <w:w w:val="105"/>
        </w:rPr>
        <w:t xml:space="preserve"> </w:t>
      </w:r>
      <w:r w:rsidRPr="00E3543C">
        <w:rPr>
          <w:color w:val="010101"/>
          <w:w w:val="105"/>
        </w:rPr>
        <w:t>Itching</w:t>
      </w:r>
      <w:r w:rsidRPr="00E3543C">
        <w:rPr>
          <w:color w:val="010101"/>
          <w:spacing w:val="-2"/>
          <w:w w:val="105"/>
        </w:rPr>
        <w:t xml:space="preserve"> </w:t>
      </w:r>
      <w:r w:rsidRPr="00E3543C">
        <w:rPr>
          <w:color w:val="010101"/>
          <w:w w:val="105"/>
        </w:rPr>
        <w:t>of</w:t>
      </w:r>
      <w:r w:rsidRPr="00E3543C">
        <w:rPr>
          <w:color w:val="010101"/>
          <w:spacing w:val="-6"/>
          <w:w w:val="105"/>
        </w:rPr>
        <w:t xml:space="preserve"> </w:t>
      </w:r>
      <w:r w:rsidRPr="00E3543C">
        <w:rPr>
          <w:color w:val="010101"/>
          <w:w w:val="105"/>
        </w:rPr>
        <w:t>the</w:t>
      </w:r>
      <w:r w:rsidRPr="00E3543C">
        <w:rPr>
          <w:color w:val="010101"/>
          <w:spacing w:val="-4"/>
          <w:w w:val="105"/>
        </w:rPr>
        <w:t xml:space="preserve"> </w:t>
      </w:r>
      <w:r w:rsidRPr="00E3543C">
        <w:rPr>
          <w:color w:val="010101"/>
          <w:w w:val="105"/>
        </w:rPr>
        <w:t>scalp</w:t>
      </w:r>
      <w:r w:rsidRPr="00E3543C">
        <w:rPr>
          <w:color w:val="010101"/>
          <w:spacing w:val="-5"/>
          <w:w w:val="105"/>
        </w:rPr>
        <w:t xml:space="preserve"> </w:t>
      </w:r>
      <w:r w:rsidRPr="00E3543C">
        <w:rPr>
          <w:color w:val="010101"/>
          <w:w w:val="105"/>
        </w:rPr>
        <w:t>and/or</w:t>
      </w:r>
      <w:r w:rsidRPr="00E3543C">
        <w:rPr>
          <w:color w:val="010101"/>
          <w:spacing w:val="-6"/>
          <w:w w:val="105"/>
        </w:rPr>
        <w:t xml:space="preserve"> </w:t>
      </w:r>
      <w:r w:rsidRPr="00E3543C">
        <w:rPr>
          <w:color w:val="010101"/>
          <w:spacing w:val="-2"/>
          <w:w w:val="105"/>
        </w:rPr>
        <w:t>neck.</w:t>
      </w:r>
    </w:p>
    <w:p w14:paraId="197C9924" w14:textId="77777777" w:rsidR="00CC16BF" w:rsidRPr="00E3543C" w:rsidRDefault="00CC16BF">
      <w:pPr>
        <w:pStyle w:val="BodyText"/>
        <w:spacing w:before="22"/>
        <w:rPr>
          <w:sz w:val="22"/>
          <w:szCs w:val="22"/>
        </w:rPr>
      </w:pPr>
    </w:p>
    <w:p w14:paraId="4D1CE3CF" w14:textId="538A4F90" w:rsidR="0059501C" w:rsidRPr="00E3543C" w:rsidRDefault="00C827C0" w:rsidP="00F14B2B">
      <w:pPr>
        <w:pStyle w:val="Heading2"/>
        <w:spacing w:line="254" w:lineRule="auto"/>
        <w:ind w:left="843" w:right="269" w:firstLine="3"/>
        <w:jc w:val="both"/>
        <w:rPr>
          <w:sz w:val="22"/>
          <w:szCs w:val="22"/>
        </w:rPr>
      </w:pPr>
      <w:r w:rsidRPr="00E3543C">
        <w:rPr>
          <w:b/>
          <w:color w:val="010101"/>
          <w:w w:val="105"/>
          <w:sz w:val="22"/>
          <w:szCs w:val="22"/>
          <w:u w:val="thick" w:color="000000"/>
        </w:rPr>
        <w:t>How</w:t>
      </w:r>
      <w:r w:rsidRPr="00E3543C">
        <w:rPr>
          <w:b/>
          <w:color w:val="010101"/>
          <w:spacing w:val="-1"/>
          <w:w w:val="105"/>
          <w:sz w:val="22"/>
          <w:szCs w:val="22"/>
          <w:u w:val="thick" w:color="000000"/>
        </w:rPr>
        <w:t xml:space="preserve"> </w:t>
      </w:r>
      <w:r w:rsidRPr="00E3543C">
        <w:rPr>
          <w:b/>
          <w:color w:val="010101"/>
          <w:w w:val="105"/>
          <w:sz w:val="22"/>
          <w:szCs w:val="22"/>
          <w:u w:val="thick" w:color="000000"/>
        </w:rPr>
        <w:t>is</w:t>
      </w:r>
      <w:r w:rsidRPr="00E3543C">
        <w:rPr>
          <w:b/>
          <w:color w:val="010101"/>
          <w:spacing w:val="-11"/>
          <w:w w:val="105"/>
          <w:sz w:val="22"/>
          <w:szCs w:val="22"/>
          <w:u w:val="thick" w:color="000000"/>
        </w:rPr>
        <w:t xml:space="preserve"> </w:t>
      </w:r>
      <w:r w:rsidRPr="00E3543C">
        <w:rPr>
          <w:b/>
          <w:color w:val="010101"/>
          <w:w w:val="105"/>
          <w:sz w:val="22"/>
          <w:szCs w:val="22"/>
          <w:u w:val="thick" w:color="000000"/>
        </w:rPr>
        <w:t>it</w:t>
      </w:r>
      <w:r w:rsidRPr="00E3543C">
        <w:rPr>
          <w:b/>
          <w:color w:val="010101"/>
          <w:spacing w:val="-9"/>
          <w:w w:val="105"/>
          <w:sz w:val="22"/>
          <w:szCs w:val="22"/>
          <w:u w:val="thick" w:color="000000"/>
        </w:rPr>
        <w:t xml:space="preserve"> </w:t>
      </w:r>
      <w:r w:rsidRPr="00E3543C">
        <w:rPr>
          <w:b/>
          <w:color w:val="010101"/>
          <w:w w:val="105"/>
          <w:sz w:val="22"/>
          <w:szCs w:val="22"/>
          <w:u w:val="thick" w:color="000000"/>
        </w:rPr>
        <w:t>spread?</w:t>
      </w:r>
      <w:r w:rsidRPr="00E3543C">
        <w:rPr>
          <w:b/>
          <w:color w:val="010101"/>
          <w:w w:val="105"/>
          <w:sz w:val="22"/>
          <w:szCs w:val="22"/>
        </w:rPr>
        <w:t xml:space="preserve"> </w:t>
      </w:r>
      <w:r w:rsidR="00F14B2B" w:rsidRPr="00E3543C">
        <w:rPr>
          <w:sz w:val="22"/>
          <w:szCs w:val="22"/>
        </w:rPr>
        <w:t>Head-to-head contact with an affected person, or by sharing combs, brushes, hats, blankets, or sheets. They can also spread when contaminated items are stored without being washed between uses. To reduce risk, children’s clothing and personal items (coats, hats, scarves, backpacks) should be kept separate—for example, hung on the back of each child’s chair. Sleeping mats or towels should be labeled and stored individually in cubbies or sealable plastic bags, if space allows.</w:t>
      </w:r>
    </w:p>
    <w:p w14:paraId="6D328FF6" w14:textId="685C5EE1" w:rsidR="0059501C" w:rsidRPr="00E3543C" w:rsidRDefault="0059501C">
      <w:pPr>
        <w:pStyle w:val="BodyText"/>
        <w:spacing w:before="9"/>
        <w:rPr>
          <w:sz w:val="22"/>
          <w:szCs w:val="22"/>
        </w:rPr>
      </w:pPr>
    </w:p>
    <w:p w14:paraId="197C9927" w14:textId="77777777" w:rsidR="00CC16BF" w:rsidRPr="00E3543C" w:rsidRDefault="00C827C0">
      <w:pPr>
        <w:ind w:left="846"/>
      </w:pPr>
      <w:r w:rsidRPr="00E3543C">
        <w:rPr>
          <w:b/>
          <w:color w:val="010101"/>
          <w:w w:val="105"/>
          <w:u w:val="thick" w:color="010101"/>
        </w:rPr>
        <w:t>When</w:t>
      </w:r>
      <w:r w:rsidRPr="00E3543C">
        <w:rPr>
          <w:b/>
          <w:color w:val="010101"/>
          <w:spacing w:val="1"/>
          <w:w w:val="105"/>
          <w:u w:val="thick" w:color="010101"/>
        </w:rPr>
        <w:t xml:space="preserve"> </w:t>
      </w:r>
      <w:r w:rsidRPr="00E3543C">
        <w:rPr>
          <w:b/>
          <w:color w:val="010101"/>
          <w:w w:val="105"/>
          <w:u w:val="thick" w:color="010101"/>
        </w:rPr>
        <w:t>do</w:t>
      </w:r>
      <w:r w:rsidRPr="00E3543C">
        <w:rPr>
          <w:b/>
          <w:color w:val="010101"/>
          <w:spacing w:val="-10"/>
          <w:w w:val="105"/>
          <w:u w:val="thick" w:color="010101"/>
        </w:rPr>
        <w:t xml:space="preserve"> </w:t>
      </w:r>
      <w:r w:rsidRPr="00E3543C">
        <w:rPr>
          <w:b/>
          <w:color w:val="010101"/>
          <w:w w:val="105"/>
          <w:u w:val="thick" w:color="010101"/>
        </w:rPr>
        <w:t>symptoms</w:t>
      </w:r>
      <w:r w:rsidRPr="00E3543C">
        <w:rPr>
          <w:b/>
          <w:color w:val="010101"/>
          <w:spacing w:val="14"/>
          <w:w w:val="105"/>
          <w:u w:val="thick" w:color="010101"/>
        </w:rPr>
        <w:t xml:space="preserve"> </w:t>
      </w:r>
      <w:r w:rsidRPr="00E3543C">
        <w:rPr>
          <w:b/>
          <w:color w:val="010101"/>
          <w:w w:val="105"/>
          <w:u w:val="thick" w:color="010101"/>
        </w:rPr>
        <w:t>start?</w:t>
      </w:r>
      <w:r w:rsidRPr="00E3543C">
        <w:rPr>
          <w:b/>
          <w:color w:val="010101"/>
          <w:spacing w:val="2"/>
          <w:w w:val="105"/>
        </w:rPr>
        <w:t xml:space="preserve"> </w:t>
      </w:r>
      <w:r w:rsidRPr="00E3543C">
        <w:rPr>
          <w:color w:val="010101"/>
          <w:w w:val="105"/>
        </w:rPr>
        <w:t>Can</w:t>
      </w:r>
      <w:r w:rsidRPr="00E3543C">
        <w:rPr>
          <w:color w:val="010101"/>
          <w:spacing w:val="-5"/>
          <w:w w:val="105"/>
        </w:rPr>
        <w:t xml:space="preserve"> </w:t>
      </w:r>
      <w:r w:rsidRPr="00E3543C">
        <w:rPr>
          <w:color w:val="010101"/>
          <w:w w:val="105"/>
        </w:rPr>
        <w:t>be</w:t>
      </w:r>
      <w:r w:rsidRPr="00E3543C">
        <w:rPr>
          <w:color w:val="010101"/>
          <w:spacing w:val="-7"/>
          <w:w w:val="105"/>
        </w:rPr>
        <w:t xml:space="preserve"> </w:t>
      </w:r>
      <w:r w:rsidRPr="00E3543C">
        <w:rPr>
          <w:color w:val="010101"/>
          <w:w w:val="105"/>
        </w:rPr>
        <w:t>immediate</w:t>
      </w:r>
      <w:r w:rsidRPr="00E3543C">
        <w:rPr>
          <w:color w:val="010101"/>
          <w:spacing w:val="5"/>
          <w:w w:val="105"/>
        </w:rPr>
        <w:t xml:space="preserve"> </w:t>
      </w:r>
      <w:r w:rsidRPr="00E3543C">
        <w:rPr>
          <w:color w:val="010101"/>
          <w:w w:val="105"/>
        </w:rPr>
        <w:t>and</w:t>
      </w:r>
      <w:r w:rsidRPr="00E3543C">
        <w:rPr>
          <w:color w:val="010101"/>
          <w:spacing w:val="-6"/>
          <w:w w:val="105"/>
        </w:rPr>
        <w:t xml:space="preserve"> </w:t>
      </w:r>
      <w:r w:rsidRPr="00E3543C">
        <w:rPr>
          <w:color w:val="010101"/>
          <w:w w:val="105"/>
        </w:rPr>
        <w:t>up</w:t>
      </w:r>
      <w:r w:rsidRPr="00E3543C">
        <w:rPr>
          <w:color w:val="010101"/>
          <w:spacing w:val="-10"/>
          <w:w w:val="105"/>
        </w:rPr>
        <w:t xml:space="preserve"> </w:t>
      </w:r>
      <w:r w:rsidRPr="00E3543C">
        <w:rPr>
          <w:color w:val="010101"/>
          <w:w w:val="105"/>
        </w:rPr>
        <w:t>to</w:t>
      </w:r>
      <w:r w:rsidRPr="00E3543C">
        <w:rPr>
          <w:color w:val="010101"/>
          <w:spacing w:val="-10"/>
          <w:w w:val="105"/>
        </w:rPr>
        <w:t xml:space="preserve"> </w:t>
      </w:r>
      <w:r w:rsidRPr="00E3543C">
        <w:rPr>
          <w:color w:val="010101"/>
          <w:w w:val="105"/>
        </w:rPr>
        <w:t>3</w:t>
      </w:r>
      <w:r w:rsidRPr="00E3543C">
        <w:rPr>
          <w:color w:val="010101"/>
          <w:spacing w:val="-11"/>
          <w:w w:val="105"/>
        </w:rPr>
        <w:t xml:space="preserve"> </w:t>
      </w:r>
      <w:r w:rsidRPr="00E3543C">
        <w:rPr>
          <w:color w:val="010101"/>
          <w:w w:val="105"/>
        </w:rPr>
        <w:t>weeks</w:t>
      </w:r>
      <w:r w:rsidRPr="00E3543C">
        <w:rPr>
          <w:color w:val="010101"/>
          <w:spacing w:val="-4"/>
          <w:w w:val="105"/>
        </w:rPr>
        <w:t xml:space="preserve"> </w:t>
      </w:r>
      <w:r w:rsidRPr="00E3543C">
        <w:rPr>
          <w:color w:val="010101"/>
          <w:w w:val="105"/>
        </w:rPr>
        <w:t>after</w:t>
      </w:r>
      <w:r w:rsidRPr="00E3543C">
        <w:rPr>
          <w:color w:val="010101"/>
          <w:spacing w:val="-3"/>
          <w:w w:val="105"/>
        </w:rPr>
        <w:t xml:space="preserve"> </w:t>
      </w:r>
      <w:r w:rsidRPr="00E3543C">
        <w:rPr>
          <w:color w:val="010101"/>
          <w:spacing w:val="-2"/>
          <w:w w:val="105"/>
        </w:rPr>
        <w:t>exposure.</w:t>
      </w:r>
    </w:p>
    <w:p w14:paraId="197C9928" w14:textId="77777777" w:rsidR="00CC16BF" w:rsidRPr="00E3543C" w:rsidRDefault="00CC16BF">
      <w:pPr>
        <w:pStyle w:val="BodyText"/>
        <w:spacing w:before="26"/>
        <w:rPr>
          <w:sz w:val="22"/>
          <w:szCs w:val="22"/>
        </w:rPr>
      </w:pPr>
    </w:p>
    <w:p w14:paraId="197C9929" w14:textId="2D17ED61" w:rsidR="00CC16BF" w:rsidRPr="00E3543C" w:rsidRDefault="00BB1869">
      <w:pPr>
        <w:spacing w:before="1" w:line="252" w:lineRule="auto"/>
        <w:ind w:left="842" w:firstLine="3"/>
      </w:pPr>
      <w:r w:rsidRPr="00E3543C">
        <w:rPr>
          <w:b/>
          <w:bCs/>
          <w:color w:val="010101"/>
          <w:w w:val="105"/>
          <w:u w:val="thick" w:color="000000"/>
        </w:rPr>
        <w:t xml:space="preserve">Do children need to stay home if symptoms develop? </w:t>
      </w:r>
      <w:r w:rsidR="00C827C0" w:rsidRPr="00E3543C">
        <w:rPr>
          <w:color w:val="010101"/>
          <w:w w:val="105"/>
        </w:rPr>
        <w:t>Yes</w:t>
      </w:r>
      <w:r w:rsidR="00C827C0" w:rsidRPr="00E3543C">
        <w:rPr>
          <w:color w:val="575757"/>
          <w:w w:val="105"/>
        </w:rPr>
        <w:t>.</w:t>
      </w:r>
      <w:r w:rsidR="00C827C0" w:rsidRPr="00E3543C">
        <w:rPr>
          <w:color w:val="575757"/>
          <w:spacing w:val="-15"/>
          <w:w w:val="105"/>
        </w:rPr>
        <w:t xml:space="preserve"> </w:t>
      </w:r>
      <w:r w:rsidR="00C827C0" w:rsidRPr="00E3543C">
        <w:rPr>
          <w:color w:val="010101"/>
          <w:w w:val="105"/>
        </w:rPr>
        <w:t>However, your child</w:t>
      </w:r>
      <w:r w:rsidR="00C827C0" w:rsidRPr="00E3543C">
        <w:rPr>
          <w:color w:val="010101"/>
          <w:spacing w:val="-2"/>
          <w:w w:val="105"/>
        </w:rPr>
        <w:t xml:space="preserve"> </w:t>
      </w:r>
      <w:r w:rsidR="00C827C0" w:rsidRPr="00E3543C">
        <w:rPr>
          <w:color w:val="010101"/>
          <w:w w:val="105"/>
        </w:rPr>
        <w:t>may</w:t>
      </w:r>
      <w:r w:rsidR="00C827C0" w:rsidRPr="00E3543C">
        <w:rPr>
          <w:color w:val="010101"/>
          <w:spacing w:val="-1"/>
          <w:w w:val="105"/>
        </w:rPr>
        <w:t xml:space="preserve"> </w:t>
      </w:r>
      <w:r w:rsidR="00C827C0" w:rsidRPr="00E3543C">
        <w:rPr>
          <w:color w:val="010101"/>
          <w:w w:val="105"/>
        </w:rPr>
        <w:t>stay</w:t>
      </w:r>
      <w:r w:rsidR="00C827C0" w:rsidRPr="00E3543C">
        <w:rPr>
          <w:color w:val="010101"/>
          <w:spacing w:val="-4"/>
          <w:w w:val="105"/>
        </w:rPr>
        <w:t xml:space="preserve"> </w:t>
      </w:r>
      <w:r w:rsidR="00C827C0" w:rsidRPr="00E3543C">
        <w:rPr>
          <w:color w:val="131313"/>
          <w:w w:val="105"/>
        </w:rPr>
        <w:t>until</w:t>
      </w:r>
      <w:r w:rsidR="00C827C0" w:rsidRPr="00E3543C">
        <w:rPr>
          <w:color w:val="131313"/>
          <w:spacing w:val="-3"/>
          <w:w w:val="105"/>
        </w:rPr>
        <w:t xml:space="preserve"> </w:t>
      </w:r>
      <w:r w:rsidR="00C827C0" w:rsidRPr="00E3543C">
        <w:rPr>
          <w:color w:val="010101"/>
          <w:w w:val="105"/>
        </w:rPr>
        <w:t>the end</w:t>
      </w:r>
      <w:r w:rsidR="00C827C0" w:rsidRPr="00E3543C">
        <w:rPr>
          <w:color w:val="010101"/>
          <w:spacing w:val="-10"/>
          <w:w w:val="105"/>
        </w:rPr>
        <w:t xml:space="preserve"> </w:t>
      </w:r>
      <w:r w:rsidR="00C827C0" w:rsidRPr="00E3543C">
        <w:rPr>
          <w:color w:val="010101"/>
          <w:w w:val="105"/>
        </w:rPr>
        <w:t>of</w:t>
      </w:r>
      <w:r w:rsidR="00C827C0" w:rsidRPr="00E3543C">
        <w:rPr>
          <w:color w:val="010101"/>
          <w:spacing w:val="-2"/>
          <w:w w:val="105"/>
        </w:rPr>
        <w:t xml:space="preserve"> </w:t>
      </w:r>
      <w:r w:rsidR="00C827C0" w:rsidRPr="00E3543C">
        <w:rPr>
          <w:color w:val="010101"/>
          <w:w w:val="105"/>
        </w:rPr>
        <w:t>the program or school day.</w:t>
      </w:r>
    </w:p>
    <w:p w14:paraId="197C992A" w14:textId="77777777" w:rsidR="00CC16BF" w:rsidRPr="00E3543C" w:rsidRDefault="00CC16BF">
      <w:pPr>
        <w:pStyle w:val="BodyText"/>
        <w:spacing w:before="10"/>
        <w:rPr>
          <w:sz w:val="22"/>
          <w:szCs w:val="22"/>
        </w:rPr>
      </w:pPr>
    </w:p>
    <w:p w14:paraId="197C992B" w14:textId="5F61D367" w:rsidR="00CC16BF" w:rsidRPr="00E3543C" w:rsidRDefault="00C827C0">
      <w:pPr>
        <w:spacing w:line="252" w:lineRule="auto"/>
        <w:ind w:left="843" w:firstLine="2"/>
        <w:rPr>
          <w:b/>
          <w:bCs/>
          <w:color w:val="EE0000"/>
        </w:rPr>
      </w:pPr>
      <w:r w:rsidRPr="00E3543C">
        <w:rPr>
          <w:b/>
          <w:color w:val="010101"/>
          <w:w w:val="105"/>
          <w:u w:val="thick" w:color="000000"/>
        </w:rPr>
        <w:t>When can</w:t>
      </w:r>
      <w:r w:rsidRPr="00E3543C">
        <w:rPr>
          <w:b/>
          <w:color w:val="010101"/>
          <w:spacing w:val="-8"/>
          <w:w w:val="105"/>
          <w:u w:val="thick" w:color="000000"/>
        </w:rPr>
        <w:t xml:space="preserve"> </w:t>
      </w:r>
      <w:r w:rsidRPr="00E3543C">
        <w:rPr>
          <w:b/>
          <w:color w:val="010101"/>
          <w:w w:val="105"/>
          <w:u w:val="thick" w:color="000000"/>
        </w:rPr>
        <w:t>my</w:t>
      </w:r>
      <w:r w:rsidRPr="00E3543C">
        <w:rPr>
          <w:b/>
          <w:color w:val="010101"/>
          <w:spacing w:val="-7"/>
          <w:w w:val="105"/>
          <w:u w:val="thick" w:color="000000"/>
        </w:rPr>
        <w:t xml:space="preserve"> </w:t>
      </w:r>
      <w:r w:rsidRPr="00E3543C">
        <w:rPr>
          <w:b/>
          <w:color w:val="010101"/>
          <w:w w:val="105"/>
          <w:u w:val="thick" w:color="000000"/>
        </w:rPr>
        <w:t>child</w:t>
      </w:r>
      <w:r w:rsidRPr="00E3543C">
        <w:rPr>
          <w:b/>
          <w:color w:val="010101"/>
          <w:spacing w:val="-1"/>
          <w:w w:val="105"/>
          <w:u w:val="thick" w:color="000000"/>
        </w:rPr>
        <w:t xml:space="preserve"> </w:t>
      </w:r>
      <w:r w:rsidRPr="00E3543C">
        <w:rPr>
          <w:b/>
          <w:color w:val="010101"/>
          <w:w w:val="105"/>
          <w:u w:val="thick" w:color="000000"/>
        </w:rPr>
        <w:t>return to</w:t>
      </w:r>
      <w:r w:rsidRPr="00E3543C">
        <w:rPr>
          <w:b/>
          <w:color w:val="010101"/>
          <w:spacing w:val="-9"/>
          <w:w w:val="105"/>
          <w:u w:val="thick" w:color="000000"/>
        </w:rPr>
        <w:t xml:space="preserve"> </w:t>
      </w:r>
      <w:r w:rsidRPr="00E3543C">
        <w:rPr>
          <w:b/>
          <w:color w:val="010101"/>
          <w:w w:val="105"/>
          <w:u w:val="thick" w:color="000000"/>
        </w:rPr>
        <w:t>school/childcare?</w:t>
      </w:r>
      <w:r w:rsidRPr="00E3543C">
        <w:rPr>
          <w:b/>
          <w:color w:val="010101"/>
          <w:spacing w:val="-5"/>
          <w:w w:val="105"/>
        </w:rPr>
        <w:t xml:space="preserve"> </w:t>
      </w:r>
      <w:r w:rsidR="00585C71" w:rsidRPr="00E3543C">
        <w:t>Per CDPH, children should be allowed in class the day after diagnosis, regardless of treatment or infestation status. Please check with your school for their specific lice policy.</w:t>
      </w:r>
    </w:p>
    <w:p w14:paraId="197C992C" w14:textId="77777777" w:rsidR="00CC16BF" w:rsidRPr="00E3543C" w:rsidRDefault="00CC16BF">
      <w:pPr>
        <w:pStyle w:val="BodyText"/>
        <w:spacing w:before="11"/>
        <w:rPr>
          <w:sz w:val="22"/>
          <w:szCs w:val="22"/>
        </w:rPr>
      </w:pPr>
    </w:p>
    <w:p w14:paraId="34CF5632" w14:textId="77777777" w:rsidR="00585C71" w:rsidRPr="00E3543C" w:rsidRDefault="00DD421B" w:rsidP="00585C71">
      <w:pPr>
        <w:pStyle w:val="BodyText"/>
        <w:spacing w:before="11"/>
        <w:ind w:left="843"/>
        <w:rPr>
          <w:b/>
          <w:color w:val="010101"/>
          <w:w w:val="105"/>
          <w:sz w:val="22"/>
          <w:szCs w:val="22"/>
          <w:u w:val="single"/>
        </w:rPr>
      </w:pPr>
      <w:r w:rsidRPr="00E3543C">
        <w:rPr>
          <w:b/>
          <w:color w:val="010101"/>
          <w:w w:val="105"/>
          <w:sz w:val="22"/>
          <w:szCs w:val="22"/>
          <w:u w:val="single"/>
        </w:rPr>
        <w:t>How do I help prevent further spread at my school/childcare or home?</w:t>
      </w:r>
      <w:r w:rsidR="00585C71" w:rsidRPr="00E3543C">
        <w:rPr>
          <w:b/>
          <w:color w:val="010101"/>
          <w:w w:val="105"/>
          <w:sz w:val="22"/>
          <w:szCs w:val="22"/>
          <w:u w:val="single"/>
        </w:rPr>
        <w:t xml:space="preserve"> </w:t>
      </w:r>
      <w:r w:rsidR="00585C71" w:rsidRPr="00E3543C">
        <w:rPr>
          <w:sz w:val="22"/>
          <w:szCs w:val="22"/>
        </w:rPr>
        <w:t>Parents and caregivers  are responsible for regularly checking their children for head lice and following product label instructions if treatment is needed. CDPH recommends using both lice-killing products and nit combing for effective treatment. Some products kill only live lice, so a second treatment 7–10 days later may be required to kill newly hatched lice. Children should be checked daily for new nits for 10 days after treatment.</w:t>
      </w:r>
    </w:p>
    <w:p w14:paraId="28C9A18C" w14:textId="77777777" w:rsidR="00585C71" w:rsidRPr="00E3543C" w:rsidRDefault="00585C71" w:rsidP="00585C71">
      <w:pPr>
        <w:pStyle w:val="BodyText"/>
        <w:spacing w:before="11"/>
        <w:ind w:left="843"/>
        <w:rPr>
          <w:sz w:val="22"/>
          <w:szCs w:val="22"/>
        </w:rPr>
      </w:pPr>
    </w:p>
    <w:p w14:paraId="24600E8E" w14:textId="112A8F56" w:rsidR="00E27EF1" w:rsidRPr="00E3543C" w:rsidRDefault="00585C71" w:rsidP="00585C71">
      <w:pPr>
        <w:pStyle w:val="BodyText"/>
        <w:spacing w:before="11"/>
        <w:ind w:left="843"/>
        <w:rPr>
          <w:b/>
          <w:color w:val="010101"/>
          <w:w w:val="105"/>
          <w:sz w:val="22"/>
          <w:szCs w:val="22"/>
          <w:u w:val="single"/>
        </w:rPr>
      </w:pPr>
      <w:r w:rsidRPr="00E3543C">
        <w:rPr>
          <w:sz w:val="22"/>
          <w:szCs w:val="22"/>
        </w:rPr>
        <w:t xml:space="preserve">If live lice are found, all household members should be checked and treated at the same time if infested. Only those with an active lice infestation should receive treatment, as unnecessary use </w:t>
      </w:r>
      <w:r w:rsidRPr="00E3543C">
        <w:rPr>
          <w:sz w:val="22"/>
          <w:szCs w:val="22"/>
        </w:rPr>
        <w:lastRenderedPageBreak/>
        <w:t>can contribute to product resistance.</w:t>
      </w:r>
    </w:p>
    <w:p w14:paraId="601E4F7A" w14:textId="77777777" w:rsidR="00143F2C" w:rsidRPr="00E3543C" w:rsidRDefault="00143F2C" w:rsidP="00F14B2B">
      <w:pPr>
        <w:pStyle w:val="BodyText"/>
        <w:spacing w:before="11"/>
        <w:ind w:left="720"/>
        <w:rPr>
          <w:sz w:val="22"/>
          <w:szCs w:val="22"/>
        </w:rPr>
      </w:pPr>
    </w:p>
    <w:p w14:paraId="31096DFB" w14:textId="27718471" w:rsidR="00585C71" w:rsidRPr="00E3543C" w:rsidRDefault="00C827C0" w:rsidP="00585C71">
      <w:pPr>
        <w:tabs>
          <w:tab w:val="left" w:pos="1564"/>
          <w:tab w:val="left" w:pos="1567"/>
        </w:tabs>
        <w:ind w:left="1197" w:right="150"/>
        <w:rPr>
          <w:color w:val="010101"/>
        </w:rPr>
      </w:pPr>
      <w:r w:rsidRPr="00E3543C">
        <w:rPr>
          <w:b/>
          <w:color w:val="010101"/>
          <w:w w:val="105"/>
        </w:rPr>
        <w:t>Note:</w:t>
      </w:r>
      <w:r w:rsidRPr="00E3543C">
        <w:rPr>
          <w:b/>
          <w:color w:val="010101"/>
          <w:spacing w:val="-5"/>
          <w:w w:val="105"/>
        </w:rPr>
        <w:t xml:space="preserve"> </w:t>
      </w:r>
      <w:r w:rsidRPr="00E3543C">
        <w:rPr>
          <w:color w:val="010101"/>
          <w:w w:val="105"/>
        </w:rPr>
        <w:t>For</w:t>
      </w:r>
      <w:r w:rsidRPr="00E3543C">
        <w:rPr>
          <w:color w:val="010101"/>
          <w:spacing w:val="-6"/>
          <w:w w:val="105"/>
        </w:rPr>
        <w:t xml:space="preserve"> </w:t>
      </w:r>
      <w:r w:rsidRPr="00E3543C">
        <w:rPr>
          <w:color w:val="010101"/>
          <w:w w:val="105"/>
        </w:rPr>
        <w:t>additional</w:t>
      </w:r>
      <w:r w:rsidRPr="00E3543C">
        <w:rPr>
          <w:color w:val="010101"/>
          <w:spacing w:val="-5"/>
          <w:w w:val="105"/>
        </w:rPr>
        <w:t xml:space="preserve"> </w:t>
      </w:r>
      <w:r w:rsidRPr="00E3543C">
        <w:rPr>
          <w:color w:val="010101"/>
          <w:w w:val="105"/>
        </w:rPr>
        <w:t>information, go</w:t>
      </w:r>
      <w:r w:rsidRPr="00E3543C">
        <w:rPr>
          <w:color w:val="010101"/>
          <w:spacing w:val="-15"/>
          <w:w w:val="105"/>
        </w:rPr>
        <w:t xml:space="preserve"> </w:t>
      </w:r>
      <w:r w:rsidRPr="00E3543C">
        <w:rPr>
          <w:color w:val="010101"/>
          <w:w w:val="105"/>
        </w:rPr>
        <w:t>to</w:t>
      </w:r>
      <w:r w:rsidRPr="00E3543C">
        <w:rPr>
          <w:color w:val="010101"/>
          <w:spacing w:val="-16"/>
          <w:w w:val="105"/>
        </w:rPr>
        <w:t xml:space="preserve"> </w:t>
      </w:r>
      <w:r w:rsidRPr="00E3543C">
        <w:rPr>
          <w:color w:val="010101"/>
          <w:w w:val="105"/>
        </w:rPr>
        <w:t>the</w:t>
      </w:r>
      <w:r w:rsidRPr="00E3543C">
        <w:rPr>
          <w:color w:val="010101"/>
          <w:spacing w:val="-12"/>
          <w:w w:val="105"/>
        </w:rPr>
        <w:t xml:space="preserve"> </w:t>
      </w:r>
      <w:r w:rsidRPr="00E3543C">
        <w:rPr>
          <w:color w:val="010101"/>
          <w:w w:val="105"/>
        </w:rPr>
        <w:t>California</w:t>
      </w:r>
      <w:r w:rsidRPr="00E3543C">
        <w:rPr>
          <w:color w:val="010101"/>
          <w:spacing w:val="6"/>
          <w:w w:val="105"/>
        </w:rPr>
        <w:t xml:space="preserve"> </w:t>
      </w:r>
      <w:r w:rsidRPr="00E3543C">
        <w:rPr>
          <w:color w:val="010101"/>
          <w:w w:val="105"/>
        </w:rPr>
        <w:t>Department</w:t>
      </w:r>
      <w:r w:rsidRPr="00E3543C">
        <w:rPr>
          <w:color w:val="010101"/>
          <w:spacing w:val="11"/>
          <w:w w:val="105"/>
        </w:rPr>
        <w:t xml:space="preserve"> </w:t>
      </w:r>
      <w:r w:rsidRPr="00E3543C">
        <w:rPr>
          <w:color w:val="010101"/>
          <w:w w:val="105"/>
        </w:rPr>
        <w:t>of</w:t>
      </w:r>
      <w:r w:rsidRPr="00E3543C">
        <w:rPr>
          <w:color w:val="010101"/>
          <w:spacing w:val="-9"/>
          <w:w w:val="105"/>
        </w:rPr>
        <w:t xml:space="preserve"> </w:t>
      </w:r>
      <w:r w:rsidRPr="00E3543C">
        <w:rPr>
          <w:color w:val="010101"/>
          <w:w w:val="105"/>
        </w:rPr>
        <w:t>Public Health</w:t>
      </w:r>
      <w:r w:rsidRPr="00E3543C">
        <w:rPr>
          <w:color w:val="010101"/>
          <w:spacing w:val="-4"/>
          <w:w w:val="105"/>
        </w:rPr>
        <w:t xml:space="preserve"> </w:t>
      </w:r>
      <w:r w:rsidRPr="00E3543C">
        <w:rPr>
          <w:color w:val="010101"/>
          <w:spacing w:val="-2"/>
          <w:w w:val="105"/>
        </w:rPr>
        <w:t>websit</w:t>
      </w:r>
      <w:r w:rsidR="00585C71" w:rsidRPr="00E3543C">
        <w:rPr>
          <w:color w:val="010101"/>
          <w:spacing w:val="-2"/>
          <w:w w:val="105"/>
        </w:rPr>
        <w:t>e</w:t>
      </w:r>
    </w:p>
    <w:p w14:paraId="13117118" w14:textId="11158D8A" w:rsidR="00585C71" w:rsidRPr="00E3543C" w:rsidRDefault="00C827C0" w:rsidP="00585C71">
      <w:pPr>
        <w:pStyle w:val="ListParagraph"/>
        <w:numPr>
          <w:ilvl w:val="0"/>
          <w:numId w:val="1"/>
        </w:numPr>
        <w:tabs>
          <w:tab w:val="left" w:pos="1564"/>
          <w:tab w:val="left" w:pos="1567"/>
        </w:tabs>
        <w:ind w:right="150"/>
      </w:pPr>
      <w:r w:rsidRPr="00E3543C">
        <w:rPr>
          <w:b/>
          <w:color w:val="010101"/>
          <w:spacing w:val="-2"/>
          <w:u w:val="none"/>
        </w:rPr>
        <w:t>English:</w:t>
      </w:r>
      <w:r w:rsidR="00585C71" w:rsidRPr="00E3543C">
        <w:rPr>
          <w:b/>
          <w:color w:val="010101"/>
          <w:spacing w:val="-2"/>
          <w:u w:val="none"/>
        </w:rPr>
        <w:t xml:space="preserve"> </w:t>
      </w:r>
      <w:hyperlink r:id="rId10" w:history="1">
        <w:r w:rsidR="00585C71" w:rsidRPr="00E3543C">
          <w:rPr>
            <w:rStyle w:val="Hyperlink"/>
            <w:bCs/>
            <w:spacing w:val="-2"/>
            <w:u w:val="none"/>
          </w:rPr>
          <w:t>CDPH Head Lice Flyer (English)</w:t>
        </w:r>
      </w:hyperlink>
    </w:p>
    <w:p w14:paraId="197C9938" w14:textId="7F3AEFE0" w:rsidR="00CC16BF" w:rsidRPr="00E3543C" w:rsidRDefault="00C827C0" w:rsidP="00585C71">
      <w:pPr>
        <w:pStyle w:val="ListParagraph"/>
        <w:numPr>
          <w:ilvl w:val="0"/>
          <w:numId w:val="1"/>
        </w:numPr>
        <w:tabs>
          <w:tab w:val="left" w:pos="1564"/>
          <w:tab w:val="left" w:pos="1567"/>
        </w:tabs>
        <w:ind w:right="150" w:hanging="363"/>
        <w:rPr>
          <w:u w:val="none"/>
        </w:rPr>
      </w:pPr>
      <w:r w:rsidRPr="00E3543C">
        <w:rPr>
          <w:b/>
          <w:bCs/>
          <w:color w:val="010101"/>
          <w:spacing w:val="-2"/>
          <w:u w:val="none"/>
        </w:rPr>
        <w:t>Espanol:</w:t>
      </w:r>
      <w:r w:rsidRPr="00E3543C">
        <w:rPr>
          <w:color w:val="010101"/>
          <w:spacing w:val="-2"/>
          <w:u w:val="none"/>
        </w:rPr>
        <w:t xml:space="preserve"> </w:t>
      </w:r>
      <w:hyperlink r:id="rId11" w:history="1">
        <w:r w:rsidR="004A4481" w:rsidRPr="00E3543C">
          <w:rPr>
            <w:rStyle w:val="Hyperlink"/>
            <w:spacing w:val="-2"/>
            <w:u w:val="none"/>
          </w:rPr>
          <w:t>CDPH Head Lice Flyer (Spanish)</w:t>
        </w:r>
      </w:hyperlink>
    </w:p>
    <w:sectPr w:rsidR="00CC16BF" w:rsidRPr="00E3543C" w:rsidSect="00CE286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598" w:right="13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0B08" w14:textId="77777777" w:rsidR="00666387" w:rsidRDefault="00666387" w:rsidP="00CE286C">
      <w:r>
        <w:separator/>
      </w:r>
    </w:p>
  </w:endnote>
  <w:endnote w:type="continuationSeparator" w:id="0">
    <w:p w14:paraId="310DB043" w14:textId="77777777" w:rsidR="00666387" w:rsidRDefault="00666387" w:rsidP="00CE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58AA" w14:textId="77777777" w:rsidR="00CD79FE" w:rsidRDefault="00CD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6E9B" w14:textId="63ECC79E" w:rsidR="00585C71" w:rsidRDefault="00585C71" w:rsidP="00CD79FE">
    <w:pPr>
      <w:pStyle w:val="Footer"/>
      <w:rPr>
        <w:sz w:val="18"/>
        <w:szCs w:val="18"/>
      </w:rPr>
    </w:pPr>
    <w:r w:rsidRPr="00585C71">
      <w:rPr>
        <w:sz w:val="18"/>
        <w:szCs w:val="18"/>
      </w:rPr>
      <w:t xml:space="preserve">Updated </w:t>
    </w:r>
    <w:r w:rsidR="00141997">
      <w:rPr>
        <w:sz w:val="18"/>
        <w:szCs w:val="18"/>
      </w:rPr>
      <w:t>10</w:t>
    </w:r>
    <w:r w:rsidRPr="00585C71">
      <w:rPr>
        <w:sz w:val="18"/>
        <w:szCs w:val="18"/>
      </w:rPr>
      <w:t>/2025</w:t>
    </w:r>
  </w:p>
  <w:p w14:paraId="3CCBD8AD" w14:textId="5608202B" w:rsidR="00CD79FE" w:rsidRPr="00585C71" w:rsidRDefault="00CD79FE" w:rsidP="00CD79FE">
    <w:pPr>
      <w:pStyle w:val="Footer"/>
      <w:rPr>
        <w:sz w:val="18"/>
        <w:szCs w:val="18"/>
      </w:rPr>
    </w:pPr>
    <w:r w:rsidRPr="00CD79FE">
      <w:rPr>
        <w:sz w:val="18"/>
        <w:szCs w:val="18"/>
      </w:rPr>
      <w:t>Exposure notice template provided by Santa Cruz County Public Health Division, Communicable Disease Unit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B3B4" w14:textId="77777777" w:rsidR="00CD79FE" w:rsidRDefault="00CD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455B" w14:textId="77777777" w:rsidR="00666387" w:rsidRDefault="00666387" w:rsidP="00CE286C">
      <w:r>
        <w:separator/>
      </w:r>
    </w:p>
  </w:footnote>
  <w:footnote w:type="continuationSeparator" w:id="0">
    <w:p w14:paraId="7ACFAD9F" w14:textId="77777777" w:rsidR="00666387" w:rsidRDefault="00666387" w:rsidP="00CE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58F8" w14:textId="37E0B960" w:rsidR="00CE286C" w:rsidRDefault="00CD79FE">
    <w:pPr>
      <w:pStyle w:val="Header"/>
    </w:pPr>
    <w:r>
      <w:rPr>
        <w:noProof/>
      </w:rPr>
      <w:pict w14:anchorId="10CA3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7.65pt;height:207.0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58AB" w14:textId="178C5B4C" w:rsidR="00CE286C" w:rsidRDefault="00CD79FE" w:rsidP="00A1021D">
    <w:pPr>
      <w:pStyle w:val="Header"/>
      <w:ind w:firstLine="720"/>
    </w:pPr>
    <w:r>
      <w:rPr>
        <w:noProof/>
      </w:rPr>
      <w:pict w14:anchorId="13320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7.65pt;height:207.0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E286C">
      <w:t>Insert School Letter Head</w:t>
    </w:r>
  </w:p>
  <w:p w14:paraId="04EFBDB4" w14:textId="2A96EC00" w:rsidR="00CE286C" w:rsidRDefault="00E3543C" w:rsidP="00141997">
    <w:pPr>
      <w:pStyle w:val="Header"/>
      <w:ind w:firstLine="720"/>
    </w:pPr>
    <w:r>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7144" w14:textId="429D021A" w:rsidR="00CE286C" w:rsidRDefault="00CD79FE">
    <w:pPr>
      <w:pStyle w:val="Header"/>
    </w:pPr>
    <w:r>
      <w:rPr>
        <w:noProof/>
      </w:rPr>
      <w:pict w14:anchorId="18710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7.65pt;height:207.0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857C4"/>
    <w:multiLevelType w:val="hybridMultilevel"/>
    <w:tmpl w:val="88B05DB8"/>
    <w:lvl w:ilvl="0" w:tplc="48FC7A36">
      <w:numFmt w:val="bullet"/>
      <w:lvlText w:val="•"/>
      <w:lvlJc w:val="left"/>
      <w:pPr>
        <w:ind w:left="1572" w:hanging="367"/>
      </w:pPr>
      <w:rPr>
        <w:rFonts w:ascii="Arial" w:eastAsia="Arial" w:hAnsi="Arial" w:cs="Arial" w:hint="default"/>
        <w:b w:val="0"/>
        <w:bCs w:val="0"/>
        <w:i w:val="0"/>
        <w:iCs w:val="0"/>
        <w:color w:val="010101"/>
        <w:spacing w:val="0"/>
        <w:w w:val="103"/>
        <w:sz w:val="20"/>
        <w:szCs w:val="20"/>
        <w:lang w:val="en-US" w:eastAsia="en-US" w:bidi="ar-SA"/>
      </w:rPr>
    </w:lvl>
    <w:lvl w:ilvl="1" w:tplc="D0C81528">
      <w:numFmt w:val="bullet"/>
      <w:lvlText w:val="•"/>
      <w:lvlJc w:val="left"/>
      <w:pPr>
        <w:ind w:left="2440" w:hanging="367"/>
      </w:pPr>
      <w:rPr>
        <w:rFonts w:hint="default"/>
        <w:lang w:val="en-US" w:eastAsia="en-US" w:bidi="ar-SA"/>
      </w:rPr>
    </w:lvl>
    <w:lvl w:ilvl="2" w:tplc="FF5613FE">
      <w:numFmt w:val="bullet"/>
      <w:lvlText w:val="•"/>
      <w:lvlJc w:val="left"/>
      <w:pPr>
        <w:ind w:left="3312" w:hanging="367"/>
      </w:pPr>
      <w:rPr>
        <w:rFonts w:hint="default"/>
        <w:lang w:val="en-US" w:eastAsia="en-US" w:bidi="ar-SA"/>
      </w:rPr>
    </w:lvl>
    <w:lvl w:ilvl="3" w:tplc="3920D5F8">
      <w:numFmt w:val="bullet"/>
      <w:lvlText w:val="•"/>
      <w:lvlJc w:val="left"/>
      <w:pPr>
        <w:ind w:left="4184" w:hanging="367"/>
      </w:pPr>
      <w:rPr>
        <w:rFonts w:hint="default"/>
        <w:lang w:val="en-US" w:eastAsia="en-US" w:bidi="ar-SA"/>
      </w:rPr>
    </w:lvl>
    <w:lvl w:ilvl="4" w:tplc="3544EAA8">
      <w:numFmt w:val="bullet"/>
      <w:lvlText w:val="•"/>
      <w:lvlJc w:val="left"/>
      <w:pPr>
        <w:ind w:left="5056" w:hanging="367"/>
      </w:pPr>
      <w:rPr>
        <w:rFonts w:hint="default"/>
        <w:lang w:val="en-US" w:eastAsia="en-US" w:bidi="ar-SA"/>
      </w:rPr>
    </w:lvl>
    <w:lvl w:ilvl="5" w:tplc="C4C8A570">
      <w:numFmt w:val="bullet"/>
      <w:lvlText w:val="•"/>
      <w:lvlJc w:val="left"/>
      <w:pPr>
        <w:ind w:left="5928" w:hanging="367"/>
      </w:pPr>
      <w:rPr>
        <w:rFonts w:hint="default"/>
        <w:lang w:val="en-US" w:eastAsia="en-US" w:bidi="ar-SA"/>
      </w:rPr>
    </w:lvl>
    <w:lvl w:ilvl="6" w:tplc="4642C544">
      <w:numFmt w:val="bullet"/>
      <w:lvlText w:val="•"/>
      <w:lvlJc w:val="left"/>
      <w:pPr>
        <w:ind w:left="6800" w:hanging="367"/>
      </w:pPr>
      <w:rPr>
        <w:rFonts w:hint="default"/>
        <w:lang w:val="en-US" w:eastAsia="en-US" w:bidi="ar-SA"/>
      </w:rPr>
    </w:lvl>
    <w:lvl w:ilvl="7" w:tplc="47FC1642">
      <w:numFmt w:val="bullet"/>
      <w:lvlText w:val="•"/>
      <w:lvlJc w:val="left"/>
      <w:pPr>
        <w:ind w:left="7672" w:hanging="367"/>
      </w:pPr>
      <w:rPr>
        <w:rFonts w:hint="default"/>
        <w:lang w:val="en-US" w:eastAsia="en-US" w:bidi="ar-SA"/>
      </w:rPr>
    </w:lvl>
    <w:lvl w:ilvl="8" w:tplc="528AD878">
      <w:numFmt w:val="bullet"/>
      <w:lvlText w:val="•"/>
      <w:lvlJc w:val="left"/>
      <w:pPr>
        <w:ind w:left="8544" w:hanging="367"/>
      </w:pPr>
      <w:rPr>
        <w:rFonts w:hint="default"/>
        <w:lang w:val="en-US" w:eastAsia="en-US" w:bidi="ar-SA"/>
      </w:rPr>
    </w:lvl>
  </w:abstractNum>
  <w:num w:numId="1" w16cid:durableId="134690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BF"/>
    <w:rsid w:val="00027A1B"/>
    <w:rsid w:val="000306A9"/>
    <w:rsid w:val="00053D4A"/>
    <w:rsid w:val="000937AF"/>
    <w:rsid w:val="000A40BD"/>
    <w:rsid w:val="000C3061"/>
    <w:rsid w:val="00141997"/>
    <w:rsid w:val="00143F2C"/>
    <w:rsid w:val="0015251A"/>
    <w:rsid w:val="00190560"/>
    <w:rsid w:val="001A08AB"/>
    <w:rsid w:val="001B4762"/>
    <w:rsid w:val="001D7C41"/>
    <w:rsid w:val="0020071A"/>
    <w:rsid w:val="00251B9F"/>
    <w:rsid w:val="002559BD"/>
    <w:rsid w:val="002A0D4E"/>
    <w:rsid w:val="003243FB"/>
    <w:rsid w:val="00340417"/>
    <w:rsid w:val="003464DD"/>
    <w:rsid w:val="00394D8A"/>
    <w:rsid w:val="003E15CD"/>
    <w:rsid w:val="0040651B"/>
    <w:rsid w:val="00424295"/>
    <w:rsid w:val="0042556E"/>
    <w:rsid w:val="004A4481"/>
    <w:rsid w:val="004B3BC6"/>
    <w:rsid w:val="005077B5"/>
    <w:rsid w:val="00534577"/>
    <w:rsid w:val="005807C5"/>
    <w:rsid w:val="00585C71"/>
    <w:rsid w:val="0059501C"/>
    <w:rsid w:val="005C6F4C"/>
    <w:rsid w:val="005F6810"/>
    <w:rsid w:val="006003F5"/>
    <w:rsid w:val="00605D78"/>
    <w:rsid w:val="00651493"/>
    <w:rsid w:val="00666387"/>
    <w:rsid w:val="007328F4"/>
    <w:rsid w:val="007A26F6"/>
    <w:rsid w:val="007C0EA8"/>
    <w:rsid w:val="007F0169"/>
    <w:rsid w:val="00853879"/>
    <w:rsid w:val="00887536"/>
    <w:rsid w:val="00960A40"/>
    <w:rsid w:val="00980CF9"/>
    <w:rsid w:val="009E4777"/>
    <w:rsid w:val="00A046B4"/>
    <w:rsid w:val="00A1021D"/>
    <w:rsid w:val="00AA4203"/>
    <w:rsid w:val="00AC769C"/>
    <w:rsid w:val="00B00292"/>
    <w:rsid w:val="00B440F3"/>
    <w:rsid w:val="00BB1869"/>
    <w:rsid w:val="00C36727"/>
    <w:rsid w:val="00C827C0"/>
    <w:rsid w:val="00CC16BF"/>
    <w:rsid w:val="00CD79FE"/>
    <w:rsid w:val="00CE286C"/>
    <w:rsid w:val="00D23238"/>
    <w:rsid w:val="00DB41D5"/>
    <w:rsid w:val="00DD1E3D"/>
    <w:rsid w:val="00DD421B"/>
    <w:rsid w:val="00E27EF1"/>
    <w:rsid w:val="00E3543C"/>
    <w:rsid w:val="00EE03A7"/>
    <w:rsid w:val="00F14B2B"/>
    <w:rsid w:val="00F3405D"/>
    <w:rsid w:val="00F36E0E"/>
    <w:rsid w:val="00F91F35"/>
    <w:rsid w:val="0BF9D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9910"/>
  <w15:docId w15:val="{DE672C2A-E3EF-4116-857C-9028BB2C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paragraph" w:styleId="Heading2">
    <w:name w:val="heading 2"/>
    <w:basedOn w:val="Normal"/>
    <w:uiPriority w:val="9"/>
    <w:unhideWhenUsed/>
    <w:qFormat/>
    <w:pPr>
      <w:ind w:left="846"/>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pPr>
      <w:spacing w:before="18"/>
      <w:ind w:left="1564" w:right="105" w:hanging="363"/>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286C"/>
    <w:pPr>
      <w:tabs>
        <w:tab w:val="center" w:pos="4680"/>
        <w:tab w:val="right" w:pos="9360"/>
      </w:tabs>
    </w:pPr>
  </w:style>
  <w:style w:type="character" w:customStyle="1" w:styleId="HeaderChar">
    <w:name w:val="Header Char"/>
    <w:basedOn w:val="DefaultParagraphFont"/>
    <w:link w:val="Header"/>
    <w:uiPriority w:val="99"/>
    <w:rsid w:val="00CE286C"/>
    <w:rPr>
      <w:rFonts w:ascii="Arial" w:eastAsia="Arial" w:hAnsi="Arial" w:cs="Arial"/>
    </w:rPr>
  </w:style>
  <w:style w:type="paragraph" w:styleId="Footer">
    <w:name w:val="footer"/>
    <w:basedOn w:val="Normal"/>
    <w:link w:val="FooterChar"/>
    <w:uiPriority w:val="99"/>
    <w:unhideWhenUsed/>
    <w:rsid w:val="00CE286C"/>
    <w:pPr>
      <w:tabs>
        <w:tab w:val="center" w:pos="4680"/>
        <w:tab w:val="right" w:pos="9360"/>
      </w:tabs>
    </w:pPr>
  </w:style>
  <w:style w:type="character" w:customStyle="1" w:styleId="FooterChar">
    <w:name w:val="Footer Char"/>
    <w:basedOn w:val="DefaultParagraphFont"/>
    <w:link w:val="Footer"/>
    <w:uiPriority w:val="99"/>
    <w:rsid w:val="00CE286C"/>
    <w:rPr>
      <w:rFonts w:ascii="Arial" w:eastAsia="Arial" w:hAnsi="Arial" w:cs="Arial"/>
    </w:rPr>
  </w:style>
  <w:style w:type="paragraph" w:styleId="Revision">
    <w:name w:val="Revision"/>
    <w:hidden/>
    <w:uiPriority w:val="99"/>
    <w:semiHidden/>
    <w:rsid w:val="00DB41D5"/>
    <w:pPr>
      <w:widowControl/>
      <w:autoSpaceDE/>
      <w:autoSpaceDN/>
    </w:pPr>
    <w:rPr>
      <w:rFonts w:ascii="Arial" w:eastAsia="Arial" w:hAnsi="Arial" w:cs="Arial"/>
    </w:rPr>
  </w:style>
  <w:style w:type="character" w:styleId="Hyperlink">
    <w:name w:val="Hyperlink"/>
    <w:basedOn w:val="DefaultParagraphFont"/>
    <w:uiPriority w:val="99"/>
    <w:unhideWhenUsed/>
    <w:rsid w:val="005C6F4C"/>
    <w:rPr>
      <w:color w:val="0000FF" w:themeColor="hyperlink"/>
      <w:u w:val="single"/>
    </w:rPr>
  </w:style>
  <w:style w:type="character" w:styleId="UnresolvedMention">
    <w:name w:val="Unresolved Mention"/>
    <w:basedOn w:val="DefaultParagraphFont"/>
    <w:uiPriority w:val="99"/>
    <w:semiHidden/>
    <w:unhideWhenUsed/>
    <w:rsid w:val="005C6F4C"/>
    <w:rPr>
      <w:color w:val="605E5C"/>
      <w:shd w:val="clear" w:color="auto" w:fill="E1DFDD"/>
    </w:rPr>
  </w:style>
  <w:style w:type="character" w:styleId="CommentReference">
    <w:name w:val="annotation reference"/>
    <w:basedOn w:val="DefaultParagraphFont"/>
    <w:uiPriority w:val="99"/>
    <w:semiHidden/>
    <w:unhideWhenUsed/>
    <w:rsid w:val="002559BD"/>
    <w:rPr>
      <w:sz w:val="16"/>
      <w:szCs w:val="16"/>
    </w:rPr>
  </w:style>
  <w:style w:type="paragraph" w:styleId="CommentText">
    <w:name w:val="annotation text"/>
    <w:basedOn w:val="Normal"/>
    <w:link w:val="CommentTextChar"/>
    <w:uiPriority w:val="99"/>
    <w:unhideWhenUsed/>
    <w:rsid w:val="002559BD"/>
    <w:rPr>
      <w:sz w:val="20"/>
      <w:szCs w:val="20"/>
    </w:rPr>
  </w:style>
  <w:style w:type="character" w:customStyle="1" w:styleId="CommentTextChar">
    <w:name w:val="Comment Text Char"/>
    <w:basedOn w:val="DefaultParagraphFont"/>
    <w:link w:val="CommentText"/>
    <w:uiPriority w:val="99"/>
    <w:rsid w:val="002559B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59BD"/>
    <w:rPr>
      <w:b/>
      <w:bCs/>
    </w:rPr>
  </w:style>
  <w:style w:type="character" w:customStyle="1" w:styleId="CommentSubjectChar">
    <w:name w:val="Comment Subject Char"/>
    <w:basedOn w:val="CommentTextChar"/>
    <w:link w:val="CommentSubject"/>
    <w:uiPriority w:val="99"/>
    <w:semiHidden/>
    <w:rsid w:val="002559BD"/>
    <w:rPr>
      <w:rFonts w:ascii="Arial" w:eastAsia="Arial" w:hAnsi="Arial" w:cs="Arial"/>
      <w:b/>
      <w:bCs/>
      <w:sz w:val="20"/>
      <w:szCs w:val="20"/>
    </w:rPr>
  </w:style>
  <w:style w:type="character" w:styleId="FollowedHyperlink">
    <w:name w:val="FollowedHyperlink"/>
    <w:basedOn w:val="DefaultParagraphFont"/>
    <w:uiPriority w:val="99"/>
    <w:semiHidden/>
    <w:unhideWhenUsed/>
    <w:rsid w:val="00585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ph.ca.gov/Programs/CID/DCDC/CDPH%20Document%20Library/HeadLiceFlyer_e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dph.ca.gov/Programs/CID/DCDC/CDPH%20Document%20Library/HeadLiceFlyer.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6BA7B0B0-BA92-4846-B910-9929774C99F4}"/>
</file>

<file path=customXml/itemProps2.xml><?xml version="1.0" encoding="utf-8"?>
<ds:datastoreItem xmlns:ds="http://schemas.openxmlformats.org/officeDocument/2006/customXml" ds:itemID="{601E22E2-CB90-480D-A5C5-3C54FE8C583C}">
  <ds:schemaRefs>
    <ds:schemaRef ds:uri="http://schemas.microsoft.com/sharepoint/v3/contenttype/forms"/>
  </ds:schemaRefs>
</ds:datastoreItem>
</file>

<file path=customXml/itemProps3.xml><?xml version="1.0" encoding="utf-8"?>
<ds:datastoreItem xmlns:ds="http://schemas.openxmlformats.org/officeDocument/2006/customXml" ds:itemID="{5A5694E0-72DF-40F0-8A2E-78FBDBDD9C85}">
  <ds:schemaRefs>
    <ds:schemaRef ds:uri="http://purl.org/dc/elements/1.1/"/>
    <ds:schemaRef ds:uri="a42abfcf-437c-4ce1-b5c2-14af7889cdd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c2a11cf1-abf9-4d2d-a6e3-e7bef8c896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exp-head-lice.pdf</dc:title>
  <dc:creator>avalosi</dc:creator>
  <cp:lastModifiedBy>Fernando Araiza</cp:lastModifiedBy>
  <cp:revision>53</cp:revision>
  <dcterms:created xsi:type="dcterms:W3CDTF">2025-08-19T19:44:00Z</dcterms:created>
  <dcterms:modified xsi:type="dcterms:W3CDTF">2025-12-09T16:26:00Z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